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6A1190" w:rsidRPr="006A1190" w14:paraId="2EDCD1DF" w14:textId="77777777" w:rsidTr="00737F17">
        <w:tc>
          <w:tcPr>
            <w:tcW w:w="9889" w:type="dxa"/>
            <w:shd w:val="clear" w:color="auto" w:fill="auto"/>
          </w:tcPr>
          <w:p w14:paraId="59E5EFC2" w14:textId="6201B81C" w:rsidR="006A1190" w:rsidRPr="006A1190" w:rsidRDefault="006A1190" w:rsidP="006A1190">
            <w:pPr>
              <w:tabs>
                <w:tab w:val="left" w:pos="3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5D874" wp14:editId="5B3381A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-462915</wp:posOffset>
                      </wp:positionV>
                      <wp:extent cx="6286500" cy="0"/>
                      <wp:effectExtent l="9525" t="11430" r="9525" b="76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0983C6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" strokeweight=".25pt"/>
                  </w:pict>
                </mc:Fallback>
              </mc:AlternateContent>
            </w: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794F59" wp14:editId="49298A8C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BCAED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4E40D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КОНТРОЛЬНО-СЧЕТНАЯ ПАЛАТА</w:t>
            </w:r>
          </w:p>
          <w:p w14:paraId="287DAD87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ЗЛАТОУСТОВСКОГО ГОРОДСКОГО ОКРУГА</w:t>
            </w:r>
          </w:p>
          <w:p w14:paraId="7876CF9C" w14:textId="556D301F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D8020" wp14:editId="53574133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2700" t="18415" r="15875" b="196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E6341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" strokeweight="2pt"/>
                  </w:pict>
                </mc:Fallback>
              </mc:AlternateContent>
            </w:r>
          </w:p>
          <w:p w14:paraId="01077D06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Таганайская</w:t>
            </w:r>
            <w:proofErr w:type="spellEnd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1, г. Златоуст, Челябинская область, 456200, Российская Федерация, </w:t>
            </w:r>
          </w:p>
          <w:p w14:paraId="175411A5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(8-3513) 62-13-55, факс 62-19-44; ИНН7404055537/740401001; (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kspzgo</w:t>
            </w:r>
            <w:proofErr w:type="spellEnd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0F359ED8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9" w:type="dxa"/>
          </w:tcPr>
          <w:p w14:paraId="171B706B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9" w:type="dxa"/>
          </w:tcPr>
          <w:p w14:paraId="12B46D96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6C26F2" w14:textId="77777777" w:rsidR="006A1190" w:rsidRPr="006A1190" w:rsidRDefault="006A1190" w:rsidP="006A119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181F0CB0" w14:textId="77777777" w:rsidR="006A1190" w:rsidRPr="006A1190" w:rsidRDefault="006A1190" w:rsidP="006A11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экспертно-аналитического мероприятия</w:t>
      </w:r>
    </w:p>
    <w:p w14:paraId="7A3673FB" w14:textId="4C1B116D" w:rsidR="006A1190" w:rsidRPr="006A1190" w:rsidRDefault="006A1190" w:rsidP="006A1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13698">
        <w:rPr>
          <w:rFonts w:ascii="Times New Roman" w:hAnsi="Times New Roman" w:cs="Times New Roman"/>
          <w:b/>
          <w:bCs/>
          <w:sz w:val="28"/>
          <w:szCs w:val="28"/>
        </w:rPr>
        <w:t>Анализ реализации Стратегии социально-экономического развития Златоустовского городского округа на период до 2030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0C5F4B" w14:textId="77777777" w:rsidR="006A1190" w:rsidRPr="006A1190" w:rsidRDefault="006A1190" w:rsidP="006A119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08481" w14:textId="59313463" w:rsidR="006A1190" w:rsidRPr="006A1190" w:rsidRDefault="006A1190" w:rsidP="00186D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Экспертно-аналитическое мероприятие проведено 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статьей 9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образований», пунктом 38 Положения о Контрольно-счетной палате Златоустовского городского округа, пунктом </w:t>
      </w:r>
      <w:r w:rsidR="004D6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 работы Контрольно-счетной палаты </w:t>
      </w:r>
      <w:r w:rsidR="004D6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ЗГО 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2021 год.</w:t>
      </w:r>
      <w:r w:rsidRPr="006A1190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 xml:space="preserve"> </w:t>
      </w:r>
    </w:p>
    <w:p w14:paraId="55D834E9" w14:textId="1AD956A0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экспертно-аналитического мероприятия отражены в заключении от </w:t>
      </w:r>
      <w:r w:rsidR="00BD3B1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B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BD3B1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B7E2B" w14:textId="10874248" w:rsidR="006A1190" w:rsidRPr="006A1190" w:rsidRDefault="006A1190" w:rsidP="00BD3B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BD3B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мероприятия: </w:t>
      </w:r>
      <w:r w:rsidR="006C3F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3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реализуемости Стратегии социально-экономического развития Златоустовского городского округа на период до 2030 года</w:t>
      </w:r>
      <w:r w:rsidR="00D51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15050" w14:textId="77777777" w:rsidR="00D51322" w:rsidRPr="00D51322" w:rsidRDefault="00D51322" w:rsidP="00D513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благосостояния и качества жизни населения за счет устойчивого и динамичного развития и повышения конкурентоспособности экономики, решением Собрания депутатов ЗГО от 05.07.2013 №28-ЗГО утверждена Стратегия и Комплексная программа социально-экономического развития Златоустовского городского округа до 2030 года (далее –                       Стратегия – 2030). </w:t>
      </w:r>
    </w:p>
    <w:p w14:paraId="33D30493" w14:textId="77777777" w:rsidR="00D51322" w:rsidRPr="00D51322" w:rsidRDefault="00D51322" w:rsidP="00D513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Держателем и пользователем Стратегии – 2030 является Администрация Златоустовского городского округа.</w:t>
      </w:r>
    </w:p>
    <w:p w14:paraId="41634A61" w14:textId="77777777" w:rsidR="00D51322" w:rsidRPr="00D51322" w:rsidRDefault="00D51322" w:rsidP="00D513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 цель – достижение устойчивого экономического роста и повышение качества жизни населения Златоустовского городского округа.</w:t>
      </w:r>
    </w:p>
    <w:p w14:paraId="19292FF3" w14:textId="77777777" w:rsidR="00D51322" w:rsidRPr="00D51322" w:rsidRDefault="00D51322" w:rsidP="00D513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Златоустовского городского округа предполагает движение от повышения качества жизни к созданию привлекательной инвестиционной среды, открытию новых рабочих мест и результирующему улучшению ключевых социальных показателей (от социальных результатов к экономическим и затем опять к социальным).</w:t>
      </w:r>
    </w:p>
    <w:p w14:paraId="319C4C1A" w14:textId="5C214668" w:rsidR="006A1190" w:rsidRPr="006A1190" w:rsidRDefault="00D51322" w:rsidP="00D51322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D513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Стратегия - 2030 является основой для разработки муниципальных программ городского округа. Муниципальные программы разрабатываются исходя из приоритетов, целей, задач и направлений социально-экономической политики городского округа, определенных в Стратегии - 2030.</w:t>
      </w:r>
    </w:p>
    <w:p w14:paraId="67835BA4" w14:textId="1C152B24" w:rsidR="00D51322" w:rsidRDefault="00D51322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– 2030, реализация указанных 18 ключевых целей предполагает повышение конкурентоспособности градообразующих предприятий, уменьшение ключевых рисков, повышение занятости на фоне </w:t>
      </w:r>
      <w:r w:rsidRPr="00D51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свободы выбора населения, привлечение творческих кадров, инвестиционных ресурсов и др., и в конечном итоге, обеспечение устойчивого развития округа в долгосрочной перспективе за счет собственного капитала, в том числе человеческого потенциала.</w:t>
      </w:r>
    </w:p>
    <w:p w14:paraId="5E697968" w14:textId="77777777" w:rsidR="003F1DF9" w:rsidRDefault="00D51322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 за реализацией целей и задач разработана система индикативных показателей, включающая в себя 36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F2F97F" w14:textId="77777777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проведенного анализа реализации Стратегии - 2030 установлены следующие нарушения и недостатки:</w:t>
      </w:r>
    </w:p>
    <w:p w14:paraId="605A22F9" w14:textId="0A899395" w:rsidR="003F1DF9" w:rsidRPr="007515B8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 индикативных показателей содержит значение каждого показателя вплоть до 2030 года. При этом, в период с 2014 по 2020 год значения показателей приведены ежегодно, а далее – на пятилетку (те есть на 2025 год, на 2030 год). Таким образом, отсутствует возможность контроля за реализацией целей Стратегии – 2030 уже с 2021 года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FCA03E" w14:textId="1CD36884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Несмотря на то, что реализация Стратегии – 2030 предусмотрена на период до 2030 года, выполнение мероприятий, направленных на социально-экономическое развитие округа, запланировано, в основном, на период 2013 – 2018 годов. Ввиду того, что в Стратегии - 2030 обеспечена преемственность стратегических целей, задач и приоритетов, намеченных и реализуемых ранее утвержденной в округе Стратегией-2020, при разработке Стратегии – 2030, комплекс программных мероприятий не был актуализирован в части дополнения мероприятий на период до 2030 года. Кроме того, комплекс программных мероприятий не взаимоувязан с индикативными показателями, достижение которых должно обеспечиваться путем исполнения мероприятий по реализации Стратегии 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9C590C" w14:textId="15C58693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3 «Обоснование ресурсного обеспечения программы» к Стратегии - 2030 не содержит уточненную информацию по количеству, наименованию муниципальных программ округа. Кроме того, финансовое обеспечение муниципальных программ в Стратегии – 2030 указано только на период 2018 года и плановый период 2019 и 2020 годов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10D1D7" w14:textId="773368DB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мероприятий по реализации Стратегии - 2030 в Златоустовском городском округе отсутствует, что создает сложности достижения целей Стратегии – 2030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EEC96" w14:textId="6947930A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Итоги выполнения Стратегии - 2030 не рассматриваются на Коллегии при Главе ЗГО, где должны утверждаться ежегодные отчеты о ходе реализации Стратегии, приниматься ключевые решения о необходимости корректировки Стратегии. Администрация ЗГО ограничивается отчетами об итогах социально-экономического развития за прошедший год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73247" w14:textId="3F7845CB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Ежегодные доклады Главы Златоустовского городского округа не в полной мере отражают результаты мониторинга реализации документов стратегического планирования в сфере социально-экономического развития округа (не содержит взаимосвязь с результатами мониторинга реализации документов стратегического планирования в сфере социально-экономического развития округа, что создает сложности по достижению цели и задач мониторинга реализации документов стратегического планирования в части оценки результативности и эффективности документов стратегического планирования)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068712" w14:textId="77777777" w:rsidR="006C3FD3" w:rsidRDefault="006C3FD3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878E3" w14:textId="77777777" w:rsidR="006C3FD3" w:rsidRDefault="006C3FD3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083F7" w14:textId="702539C1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требований Федерального закона от 28.06.2014 №172-ФЗ</w:t>
      </w:r>
      <w:r w:rsidR="006C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стратегическом планировании в Российской Федерации»</w:t>
      </w: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C38114" w14:textId="10464109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3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</w:t>
      </w: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proofErr w:type="gramStart"/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мониторинга реализации документов стратегического планирования</w:t>
      </w:r>
      <w:proofErr w:type="gramEnd"/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 (в части касающейся Стратегии – 2030)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3BE11C" w14:textId="12552BD5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по достижению индикативных показателей                    Стратегии – 2030, размещенная на официальном сайте округа, не отражает решение задач мониторинга и контроля, в части оценок степени достижения запланированных целей, результативности и эффективности стратегии, объема ресурсов, необходимых для ее реализации и разработки предложений по повышению эффективности функционирования системы стратегического планирования (часть 2 статьи 40 и часть 1 статьи 41)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5E10B6" w14:textId="2AFF7749" w:rsidR="003F1DF9" w:rsidRPr="003F1DF9" w:rsidRDefault="007515B8" w:rsidP="007515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установлены н</w:t>
      </w:r>
      <w:r w:rsidR="003F1DF9"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едостатки технического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B40AB5" w14:textId="0E5FA225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экспертно-аналитического мероприятия 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 </w:t>
      </w: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 в адрес Администрации Златоустовского городского округа с рекомендациями:</w:t>
      </w:r>
    </w:p>
    <w:p w14:paraId="7C0B8D81" w14:textId="77777777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Рассмотреть возможность актуализации Стратегии – 2030 с учетом вышеуказанных замечаний, основываясь на определении текущего уровня социально-экономического развития округа, ее ресурсного потенциала, выявлении проблем социально-экономического развития округа и выбора способов их решения. </w:t>
      </w:r>
    </w:p>
    <w:p w14:paraId="62408034" w14:textId="77777777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Разработать нормативные правовые акты, определяющие порядок осуществления мониторинга и контроля реализации документов стратегического планирования.</w:t>
      </w:r>
    </w:p>
    <w:p w14:paraId="5F832BEC" w14:textId="77777777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и принять план мероприятий по реализации                           Стратегии – 2030.</w:t>
      </w:r>
    </w:p>
    <w:p w14:paraId="7C72904E" w14:textId="4638DF31" w:rsidR="00D51322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Предусмотреть в докладе Главы Златоустовского городского округа о результатах деятельности отражение результатов мониторинга реализации документов стратегического планирования в сфере социально-экономического развития, в том числе результаты мониторинга реализации Стратегии – 2030 по аналогии с отчетом Губернатора Челябинской области о результатах деятельности Правительства Челябинской области в 2020 году.</w:t>
      </w:r>
    </w:p>
    <w:p w14:paraId="562C2F16" w14:textId="77777777" w:rsidR="00D51322" w:rsidRDefault="00D51322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05763" w14:textId="5216F7C5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77C557EA" w14:textId="77777777" w:rsidR="006A1190" w:rsidRPr="006A1190" w:rsidRDefault="006A1190" w:rsidP="006A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64261" w14:textId="77777777" w:rsidR="00AE288F" w:rsidRDefault="00AE288F">
      <w:bookmarkStart w:id="0" w:name="_GoBack"/>
      <w:bookmarkEnd w:id="0"/>
    </w:p>
    <w:sectPr w:rsidR="00AE288F" w:rsidSect="00445A8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186D44"/>
    <w:rsid w:val="003F1DF9"/>
    <w:rsid w:val="004D60BB"/>
    <w:rsid w:val="005623FF"/>
    <w:rsid w:val="005C3130"/>
    <w:rsid w:val="006A0CAF"/>
    <w:rsid w:val="006A1190"/>
    <w:rsid w:val="006A14E9"/>
    <w:rsid w:val="006C3FD3"/>
    <w:rsid w:val="007515B8"/>
    <w:rsid w:val="007D0AB1"/>
    <w:rsid w:val="00AE288F"/>
    <w:rsid w:val="00B13698"/>
    <w:rsid w:val="00BD3B18"/>
    <w:rsid w:val="00D5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</cp:revision>
  <dcterms:created xsi:type="dcterms:W3CDTF">2021-07-23T08:52:00Z</dcterms:created>
  <dcterms:modified xsi:type="dcterms:W3CDTF">2021-12-08T09:31:00Z</dcterms:modified>
</cp:coreProperties>
</file>